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53DBF" w14:textId="77777777" w:rsidR="003F5449" w:rsidRPr="000909B7" w:rsidRDefault="00244234" w:rsidP="003F5449">
      <w:pPr>
        <w:rPr>
          <w:b/>
          <w:sz w:val="36"/>
        </w:rPr>
      </w:pPr>
      <w:r>
        <w:rPr>
          <w:b/>
          <w:sz w:val="36"/>
        </w:rPr>
        <w:t xml:space="preserve">Bilag 2: </w:t>
      </w:r>
      <w:r w:rsidR="003F5449" w:rsidRPr="000909B7">
        <w:rPr>
          <w:b/>
          <w:sz w:val="36"/>
        </w:rPr>
        <w:t>Indsatsplan for Egaa Gymnasium</w:t>
      </w:r>
    </w:p>
    <w:p w14:paraId="254E9A49" w14:textId="77777777" w:rsidR="003F5449" w:rsidRPr="00DB28C6" w:rsidRDefault="003F5449" w:rsidP="003F5449"/>
    <w:p w14:paraId="5381AA73" w14:textId="77777777" w:rsidR="003F5449" w:rsidRPr="00DB28C6" w:rsidRDefault="003F5449" w:rsidP="003F5449">
      <w:r w:rsidRPr="00DB28C6">
        <w:t xml:space="preserve">Indsatsplanen er Egaa Gymnasiums overordnede strategiske </w:t>
      </w:r>
      <w:r w:rsidR="000909B7" w:rsidRPr="00DB28C6">
        <w:t>styringsdokument. Den samler de forskellige centralt fastlagte indsatser, som bestyrelsen har vedtaget.</w:t>
      </w:r>
    </w:p>
    <w:p w14:paraId="3074E601" w14:textId="77777777" w:rsidR="000909B7" w:rsidRPr="00DB28C6" w:rsidRDefault="000909B7" w:rsidP="003F5449">
      <w:r w:rsidRPr="00DB28C6">
        <w:t>Indsatsplanen består af et driftsspor og et udviklingsspor.</w:t>
      </w:r>
    </w:p>
    <w:p w14:paraId="0FA8813E" w14:textId="77777777" w:rsidR="000909B7" w:rsidRPr="00DB28C6" w:rsidRDefault="000909B7" w:rsidP="003F5449">
      <w:r w:rsidRPr="00DB28C6">
        <w:t>Driftsporet omfatter en række faste indikatorer og har som formål løbende at give et overblik over status og udviklingen af de valgte områder. På baggrund af det løbende overblik kan bestyrelsen beslutte at rykke et særligt område fra driftssporet til udviklingssporet.</w:t>
      </w:r>
    </w:p>
    <w:p w14:paraId="4E72E8EF" w14:textId="77777777" w:rsidR="000909B7" w:rsidRPr="00DB28C6" w:rsidRDefault="000909B7" w:rsidP="003F5449">
      <w:r w:rsidRPr="00DB28C6">
        <w:t xml:space="preserve">Udviklingssporet omfatter de områder, hvor bestyrelsen har besluttet at der skal gøres en indsats. Udviklingssporet afrapporteres en gang årligt i forbindelse med </w:t>
      </w:r>
      <w:r w:rsidR="000A5DBE">
        <w:t>den</w:t>
      </w:r>
      <w:r w:rsidRPr="00DB28C6">
        <w:t xml:space="preserve"> selvevaluering</w:t>
      </w:r>
      <w:r w:rsidR="000A5DBE">
        <w:t xml:space="preserve"> af institutionen</w:t>
      </w:r>
      <w:r w:rsidRPr="00DB28C6">
        <w:t>, som ledelsen fremlægger for bestyrelsen</w:t>
      </w:r>
      <w:r w:rsidR="000A5DBE">
        <w:t xml:space="preserve"> på bestyrelsesseminaret i </w:t>
      </w:r>
      <w:r w:rsidR="00120E7E" w:rsidRPr="00120E7E">
        <w:t>december</w:t>
      </w:r>
      <w:r w:rsidR="000A5DBE">
        <w:t>, jf. Skolens kvalitetsplan</w:t>
      </w:r>
      <w:r w:rsidRPr="00DB28C6">
        <w:t>. Her fastlægges også udviklingssporet med tilhørende indsatser og indikato</w:t>
      </w:r>
      <w:r w:rsidR="00DB28C6" w:rsidRPr="00DB28C6">
        <w:t>r</w:t>
      </w:r>
      <w:r w:rsidRPr="00DB28C6">
        <w:t>er for det kommende år.</w:t>
      </w:r>
    </w:p>
    <w:p w14:paraId="295F089E" w14:textId="77777777" w:rsidR="003F5449" w:rsidRDefault="003F5449" w:rsidP="003F5449">
      <w:pPr>
        <w:rPr>
          <w:i/>
        </w:rPr>
      </w:pPr>
    </w:p>
    <w:p w14:paraId="3DDA6F8A" w14:textId="77777777" w:rsidR="000909B7" w:rsidRPr="000909B7" w:rsidRDefault="000909B7" w:rsidP="003F5449">
      <w:pPr>
        <w:rPr>
          <w:b/>
          <w:i/>
          <w:sz w:val="28"/>
        </w:rPr>
      </w:pPr>
      <w:r w:rsidRPr="000909B7">
        <w:rPr>
          <w:b/>
          <w:i/>
          <w:sz w:val="28"/>
        </w:rPr>
        <w:t>Driftsspor:</w:t>
      </w:r>
    </w:p>
    <w:tbl>
      <w:tblPr>
        <w:tblStyle w:val="Tabel-Gitter"/>
        <w:tblW w:w="0" w:type="auto"/>
        <w:tblLook w:val="04A0" w:firstRow="1" w:lastRow="0" w:firstColumn="1" w:lastColumn="0" w:noHBand="0" w:noVBand="1"/>
      </w:tblPr>
      <w:tblGrid>
        <w:gridCol w:w="3209"/>
        <w:gridCol w:w="3209"/>
        <w:gridCol w:w="3210"/>
      </w:tblGrid>
      <w:tr w:rsidR="000909B7" w:rsidRPr="000909B7" w14:paraId="5B10E7D8" w14:textId="77777777" w:rsidTr="000909B7">
        <w:tc>
          <w:tcPr>
            <w:tcW w:w="3209" w:type="dxa"/>
          </w:tcPr>
          <w:p w14:paraId="7FF5C850" w14:textId="77777777" w:rsidR="000909B7" w:rsidRPr="000909B7" w:rsidRDefault="000909B7" w:rsidP="003F5449">
            <w:pPr>
              <w:rPr>
                <w:b/>
              </w:rPr>
            </w:pPr>
            <w:r w:rsidRPr="000909B7">
              <w:rPr>
                <w:b/>
              </w:rPr>
              <w:t>Område</w:t>
            </w:r>
          </w:p>
        </w:tc>
        <w:tc>
          <w:tcPr>
            <w:tcW w:w="3209" w:type="dxa"/>
          </w:tcPr>
          <w:p w14:paraId="13129456" w14:textId="77777777" w:rsidR="000909B7" w:rsidRPr="000909B7" w:rsidRDefault="00DB28C6" w:rsidP="003F5449">
            <w:pPr>
              <w:rPr>
                <w:b/>
              </w:rPr>
            </w:pPr>
            <w:r>
              <w:rPr>
                <w:b/>
              </w:rPr>
              <w:t>Data</w:t>
            </w:r>
          </w:p>
        </w:tc>
        <w:tc>
          <w:tcPr>
            <w:tcW w:w="3210" w:type="dxa"/>
          </w:tcPr>
          <w:p w14:paraId="4AD150AD" w14:textId="77777777" w:rsidR="000909B7" w:rsidRPr="000909B7" w:rsidRDefault="00DB28C6" w:rsidP="003F5449">
            <w:pPr>
              <w:rPr>
                <w:b/>
              </w:rPr>
            </w:pPr>
            <w:r>
              <w:rPr>
                <w:b/>
              </w:rPr>
              <w:t>Indikator</w:t>
            </w:r>
          </w:p>
        </w:tc>
      </w:tr>
      <w:tr w:rsidR="000909B7" w:rsidRPr="000909B7" w14:paraId="68B5CF84" w14:textId="77777777" w:rsidTr="000909B7">
        <w:tc>
          <w:tcPr>
            <w:tcW w:w="3209" w:type="dxa"/>
          </w:tcPr>
          <w:p w14:paraId="329B31FF" w14:textId="77777777" w:rsidR="000909B7" w:rsidRPr="000909B7" w:rsidRDefault="000909B7" w:rsidP="003F5449">
            <w:r w:rsidRPr="000909B7">
              <w:t>Elevfravær</w:t>
            </w:r>
          </w:p>
        </w:tc>
        <w:tc>
          <w:tcPr>
            <w:tcW w:w="3209" w:type="dxa"/>
          </w:tcPr>
          <w:p w14:paraId="06D9C607" w14:textId="77777777" w:rsidR="000909B7" w:rsidRPr="000909B7" w:rsidRDefault="00DB28C6" w:rsidP="003F5449">
            <w:r>
              <w:t>Egne opgørelser</w:t>
            </w:r>
          </w:p>
        </w:tc>
        <w:tc>
          <w:tcPr>
            <w:tcW w:w="3210" w:type="dxa"/>
          </w:tcPr>
          <w:p w14:paraId="6B8EAB78" w14:textId="77777777" w:rsidR="000909B7" w:rsidRDefault="000A5DBE" w:rsidP="003F5449">
            <w:r>
              <w:t>På niveau med de tre</w:t>
            </w:r>
            <w:r w:rsidR="00DB28C6">
              <w:t xml:space="preserve"> foregående år</w:t>
            </w:r>
            <w:r>
              <w:t>.</w:t>
            </w:r>
          </w:p>
          <w:p w14:paraId="5B550BE2" w14:textId="77777777" w:rsidR="000A5DBE" w:rsidRPr="000909B7" w:rsidRDefault="000A5DBE" w:rsidP="003F5449"/>
        </w:tc>
      </w:tr>
      <w:tr w:rsidR="00DB28C6" w:rsidRPr="000909B7" w14:paraId="0BC3076F" w14:textId="77777777" w:rsidTr="000909B7">
        <w:tc>
          <w:tcPr>
            <w:tcW w:w="3209" w:type="dxa"/>
          </w:tcPr>
          <w:p w14:paraId="21E6E2CE" w14:textId="77777777" w:rsidR="00DB28C6" w:rsidRPr="000909B7" w:rsidRDefault="00DB28C6" w:rsidP="00DB28C6">
            <w:r w:rsidRPr="000909B7">
              <w:t>Elevtrivsel</w:t>
            </w:r>
          </w:p>
        </w:tc>
        <w:tc>
          <w:tcPr>
            <w:tcW w:w="3209" w:type="dxa"/>
          </w:tcPr>
          <w:p w14:paraId="3197C93C" w14:textId="77777777" w:rsidR="00DB28C6" w:rsidRPr="000909B7" w:rsidRDefault="00DB28C6" w:rsidP="00DB28C6">
            <w:r>
              <w:t>ETU</w:t>
            </w:r>
          </w:p>
        </w:tc>
        <w:tc>
          <w:tcPr>
            <w:tcW w:w="3210" w:type="dxa"/>
          </w:tcPr>
          <w:p w14:paraId="270FD8D1" w14:textId="77777777" w:rsidR="00DB28C6" w:rsidRDefault="00DB28C6" w:rsidP="00DB28C6">
            <w:r>
              <w:t xml:space="preserve">På det overordnede plan på </w:t>
            </w:r>
            <w:r w:rsidR="000A5DBE">
              <w:t>niveau med de tre</w:t>
            </w:r>
            <w:r>
              <w:t xml:space="preserve"> foregående år</w:t>
            </w:r>
            <w:r w:rsidR="000A5DBE">
              <w:t>.</w:t>
            </w:r>
          </w:p>
          <w:p w14:paraId="25FD917C" w14:textId="77777777" w:rsidR="000A5DBE" w:rsidRPr="000909B7" w:rsidRDefault="000A5DBE" w:rsidP="00DB28C6"/>
        </w:tc>
      </w:tr>
      <w:tr w:rsidR="00DB28C6" w:rsidRPr="000909B7" w14:paraId="6BB420B2" w14:textId="77777777" w:rsidTr="000909B7">
        <w:tc>
          <w:tcPr>
            <w:tcW w:w="3209" w:type="dxa"/>
          </w:tcPr>
          <w:p w14:paraId="5400E871" w14:textId="77777777" w:rsidR="00DB28C6" w:rsidRPr="000909B7" w:rsidRDefault="00DB28C6" w:rsidP="00DB28C6">
            <w:r>
              <w:t>Frafald</w:t>
            </w:r>
          </w:p>
        </w:tc>
        <w:tc>
          <w:tcPr>
            <w:tcW w:w="3209" w:type="dxa"/>
          </w:tcPr>
          <w:p w14:paraId="41E21CF4" w14:textId="77777777" w:rsidR="00DB28C6" w:rsidRPr="000909B7" w:rsidRDefault="00DB28C6" w:rsidP="00DB28C6">
            <w:r>
              <w:t>Egne opgørelser</w:t>
            </w:r>
          </w:p>
        </w:tc>
        <w:tc>
          <w:tcPr>
            <w:tcW w:w="3210" w:type="dxa"/>
          </w:tcPr>
          <w:p w14:paraId="1A7D97AE" w14:textId="77777777" w:rsidR="00DB28C6" w:rsidRDefault="000A5DBE" w:rsidP="00DB28C6">
            <w:r>
              <w:t>På niveau med de tre</w:t>
            </w:r>
            <w:r w:rsidR="00DB28C6">
              <w:t xml:space="preserve"> foregående år</w:t>
            </w:r>
            <w:r>
              <w:t>.</w:t>
            </w:r>
          </w:p>
          <w:p w14:paraId="5F30BC49" w14:textId="77777777" w:rsidR="000A5DBE" w:rsidRPr="000909B7" w:rsidRDefault="000A5DBE" w:rsidP="00DB28C6"/>
        </w:tc>
      </w:tr>
      <w:tr w:rsidR="00DB28C6" w:rsidRPr="000909B7" w14:paraId="576EB328" w14:textId="77777777" w:rsidTr="000909B7">
        <w:tc>
          <w:tcPr>
            <w:tcW w:w="3209" w:type="dxa"/>
          </w:tcPr>
          <w:p w14:paraId="7857473E" w14:textId="77777777" w:rsidR="00DB28C6" w:rsidRPr="000909B7" w:rsidRDefault="00DB28C6" w:rsidP="00DB28C6">
            <w:r>
              <w:t>Karakterer</w:t>
            </w:r>
          </w:p>
        </w:tc>
        <w:tc>
          <w:tcPr>
            <w:tcW w:w="3209" w:type="dxa"/>
          </w:tcPr>
          <w:p w14:paraId="47551C05" w14:textId="77777777" w:rsidR="00DB28C6" w:rsidRPr="000909B7" w:rsidRDefault="00DB28C6" w:rsidP="00DB28C6">
            <w:r>
              <w:t>UVM’s Dashboard</w:t>
            </w:r>
          </w:p>
        </w:tc>
        <w:tc>
          <w:tcPr>
            <w:tcW w:w="3210" w:type="dxa"/>
          </w:tcPr>
          <w:p w14:paraId="2720C775" w14:textId="77777777" w:rsidR="00DB28C6" w:rsidRDefault="000A5DBE" w:rsidP="00DB28C6">
            <w:r>
              <w:t>På niveau med de tre</w:t>
            </w:r>
            <w:r w:rsidR="00DB28C6">
              <w:t xml:space="preserve"> foregående år</w:t>
            </w:r>
            <w:r>
              <w:t>.</w:t>
            </w:r>
          </w:p>
          <w:p w14:paraId="2F908C9A" w14:textId="77777777" w:rsidR="000A5DBE" w:rsidRPr="000909B7" w:rsidRDefault="000A5DBE" w:rsidP="00DB28C6"/>
        </w:tc>
      </w:tr>
      <w:tr w:rsidR="00EF20D5" w:rsidRPr="000909B7" w14:paraId="38D8D95C" w14:textId="77777777" w:rsidTr="000909B7">
        <w:tc>
          <w:tcPr>
            <w:tcW w:w="3209" w:type="dxa"/>
          </w:tcPr>
          <w:p w14:paraId="4CDBDCBF" w14:textId="77777777" w:rsidR="00EF20D5" w:rsidRPr="000909B7" w:rsidRDefault="00EF20D5" w:rsidP="00EF20D5">
            <w:r>
              <w:t>Løfteevne</w:t>
            </w:r>
          </w:p>
        </w:tc>
        <w:tc>
          <w:tcPr>
            <w:tcW w:w="3209" w:type="dxa"/>
          </w:tcPr>
          <w:p w14:paraId="29B075B6" w14:textId="77777777" w:rsidR="00EF20D5" w:rsidRPr="000909B7" w:rsidRDefault="00EF20D5" w:rsidP="00EF20D5">
            <w:r>
              <w:t>UVM’s Dashboard samt opgørelser over løfteevnen målt på eksamen</w:t>
            </w:r>
          </w:p>
        </w:tc>
        <w:tc>
          <w:tcPr>
            <w:tcW w:w="3210" w:type="dxa"/>
          </w:tcPr>
          <w:p w14:paraId="71A0974A" w14:textId="4B5C37B8" w:rsidR="00EF20D5" w:rsidRPr="000909B7" w:rsidRDefault="00EF20D5" w:rsidP="00EF20D5">
            <w:r>
              <w:t>Løfteevnen skal målt på 3-årige perioder være inden eller over det forventede – både generelt og for de enkelte fag.</w:t>
            </w:r>
          </w:p>
        </w:tc>
      </w:tr>
      <w:tr w:rsidR="00EF20D5" w:rsidRPr="000909B7" w14:paraId="23BED39E" w14:textId="77777777" w:rsidTr="000909B7">
        <w:tc>
          <w:tcPr>
            <w:tcW w:w="3209" w:type="dxa"/>
          </w:tcPr>
          <w:p w14:paraId="7217726A" w14:textId="77777777" w:rsidR="00EF20D5" w:rsidRDefault="00EF20D5" w:rsidP="00EF20D5">
            <w:r>
              <w:t>Medarbejdertrivsel</w:t>
            </w:r>
          </w:p>
        </w:tc>
        <w:tc>
          <w:tcPr>
            <w:tcW w:w="3209" w:type="dxa"/>
          </w:tcPr>
          <w:p w14:paraId="088D3E1A" w14:textId="77777777" w:rsidR="00EF20D5" w:rsidRDefault="00EF20D5" w:rsidP="00EF20D5">
            <w:r>
              <w:t>Den treårige MTU samt egne trivselsmålinger</w:t>
            </w:r>
          </w:p>
        </w:tc>
        <w:tc>
          <w:tcPr>
            <w:tcW w:w="3210" w:type="dxa"/>
          </w:tcPr>
          <w:p w14:paraId="288F7D18" w14:textId="308296AD" w:rsidR="00EF20D5" w:rsidRDefault="00EF20D5" w:rsidP="00EF20D5">
            <w:r w:rsidRPr="00025AFD">
              <w:t xml:space="preserve">Resultatet skal ligge på eller over landsgennemsnittet ved den overordnede MTU. </w:t>
            </w:r>
            <w:bookmarkStart w:id="0" w:name="_GoBack"/>
            <w:bookmarkEnd w:id="0"/>
          </w:p>
        </w:tc>
      </w:tr>
      <w:tr w:rsidR="00EF20D5" w:rsidRPr="000909B7" w14:paraId="2B8C424F" w14:textId="77777777" w:rsidTr="000909B7">
        <w:tc>
          <w:tcPr>
            <w:tcW w:w="3209" w:type="dxa"/>
          </w:tcPr>
          <w:p w14:paraId="6AC91C54" w14:textId="77777777" w:rsidR="00EF20D5" w:rsidRDefault="00EF20D5" w:rsidP="00EF20D5">
            <w:r>
              <w:t>Studieretninger</w:t>
            </w:r>
          </w:p>
        </w:tc>
        <w:tc>
          <w:tcPr>
            <w:tcW w:w="3209" w:type="dxa"/>
          </w:tcPr>
          <w:p w14:paraId="4050AABE" w14:textId="77777777" w:rsidR="00EF20D5" w:rsidRDefault="00EF20D5" w:rsidP="00EF20D5">
            <w:r>
              <w:t>Egne data</w:t>
            </w:r>
          </w:p>
        </w:tc>
        <w:tc>
          <w:tcPr>
            <w:tcW w:w="3210" w:type="dxa"/>
          </w:tcPr>
          <w:p w14:paraId="71B307F9" w14:textId="77777777" w:rsidR="00EF20D5" w:rsidRDefault="00EF20D5" w:rsidP="00EF20D5">
            <w:r>
              <w:t xml:space="preserve">Variationen i studieretninger skal være på niveau med de 3 foregående år. </w:t>
            </w:r>
          </w:p>
          <w:p w14:paraId="7C45CA33" w14:textId="77777777" w:rsidR="00EF20D5" w:rsidRDefault="00EF20D5" w:rsidP="00EF20D5"/>
          <w:p w14:paraId="1C6AF25A" w14:textId="77777777" w:rsidR="00EF20D5" w:rsidRDefault="00EF20D5" w:rsidP="00EF20D5">
            <w:r>
              <w:t>Der skal oprettes studieretninger inden for alle fire retninger.</w:t>
            </w:r>
          </w:p>
          <w:p w14:paraId="4DE028DB" w14:textId="77777777" w:rsidR="00EF20D5" w:rsidRDefault="00EF20D5" w:rsidP="00EF20D5"/>
        </w:tc>
      </w:tr>
      <w:tr w:rsidR="00EF20D5" w:rsidRPr="000909B7" w14:paraId="40B874F7" w14:textId="77777777" w:rsidTr="000909B7">
        <w:tc>
          <w:tcPr>
            <w:tcW w:w="3209" w:type="dxa"/>
          </w:tcPr>
          <w:p w14:paraId="3ED8A7FE" w14:textId="77777777" w:rsidR="00EF20D5" w:rsidRDefault="00EF20D5" w:rsidP="00EF20D5">
            <w:r>
              <w:lastRenderedPageBreak/>
              <w:t>Elevsøgning</w:t>
            </w:r>
          </w:p>
        </w:tc>
        <w:tc>
          <w:tcPr>
            <w:tcW w:w="3209" w:type="dxa"/>
          </w:tcPr>
          <w:p w14:paraId="18B18634" w14:textId="77777777" w:rsidR="00EF20D5" w:rsidRDefault="00EF20D5" w:rsidP="00EF20D5">
            <w:r>
              <w:t>Optagelse.dk</w:t>
            </w:r>
          </w:p>
        </w:tc>
        <w:tc>
          <w:tcPr>
            <w:tcW w:w="3210" w:type="dxa"/>
          </w:tcPr>
          <w:p w14:paraId="6D7644F1" w14:textId="77777777" w:rsidR="00EF20D5" w:rsidRDefault="00EF20D5" w:rsidP="00EF20D5">
            <w:r>
              <w:t>Egaa Gymnasium skal kunne fylde den fastlagte kapacitet op med 1. prioritetsansøgere.</w:t>
            </w:r>
          </w:p>
          <w:p w14:paraId="6D3FB966" w14:textId="77777777" w:rsidR="00EF20D5" w:rsidRDefault="00EF20D5" w:rsidP="00EF20D5"/>
        </w:tc>
      </w:tr>
      <w:tr w:rsidR="00EF20D5" w:rsidRPr="000909B7" w14:paraId="296572BB" w14:textId="77777777" w:rsidTr="000909B7">
        <w:tc>
          <w:tcPr>
            <w:tcW w:w="3209" w:type="dxa"/>
          </w:tcPr>
          <w:p w14:paraId="7F6C0BC2" w14:textId="77777777" w:rsidR="00EF20D5" w:rsidRDefault="00EF20D5" w:rsidP="00EF20D5">
            <w:r>
              <w:t>Økonomi</w:t>
            </w:r>
          </w:p>
        </w:tc>
        <w:tc>
          <w:tcPr>
            <w:tcW w:w="3209" w:type="dxa"/>
          </w:tcPr>
          <w:p w14:paraId="6F0BFE1F" w14:textId="77777777" w:rsidR="00EF20D5" w:rsidRDefault="00EF20D5" w:rsidP="00EF20D5">
            <w:r>
              <w:t>Årsrapporten</w:t>
            </w:r>
          </w:p>
        </w:tc>
        <w:tc>
          <w:tcPr>
            <w:tcW w:w="3210" w:type="dxa"/>
          </w:tcPr>
          <w:p w14:paraId="3A20D3CA" w14:textId="77777777" w:rsidR="00EF20D5" w:rsidRDefault="00EF20D5" w:rsidP="00EF20D5">
            <w:r>
              <w:t>Driften på gymnasiet skal set over tid balancere.</w:t>
            </w:r>
          </w:p>
          <w:p w14:paraId="1869AED9" w14:textId="77777777" w:rsidR="00EF20D5" w:rsidRDefault="00EF20D5" w:rsidP="00EF20D5"/>
        </w:tc>
      </w:tr>
    </w:tbl>
    <w:p w14:paraId="33EF36BE" w14:textId="77777777" w:rsidR="000909B7" w:rsidRDefault="000909B7" w:rsidP="003F5449">
      <w:pPr>
        <w:rPr>
          <w:i/>
        </w:rPr>
      </w:pPr>
    </w:p>
    <w:p w14:paraId="7B13E372" w14:textId="77777777" w:rsidR="00DB28C6" w:rsidRPr="000909B7" w:rsidRDefault="00DB28C6" w:rsidP="00DB28C6">
      <w:pPr>
        <w:rPr>
          <w:b/>
          <w:i/>
          <w:sz w:val="28"/>
        </w:rPr>
      </w:pPr>
      <w:r>
        <w:rPr>
          <w:b/>
          <w:i/>
          <w:sz w:val="28"/>
        </w:rPr>
        <w:t>Udvikling</w:t>
      </w:r>
      <w:r w:rsidRPr="000909B7">
        <w:rPr>
          <w:b/>
          <w:i/>
          <w:sz w:val="28"/>
        </w:rPr>
        <w:t>sspor:</w:t>
      </w:r>
    </w:p>
    <w:tbl>
      <w:tblPr>
        <w:tblStyle w:val="Tabel-Gitter"/>
        <w:tblW w:w="0" w:type="auto"/>
        <w:tblLook w:val="04A0" w:firstRow="1" w:lastRow="0" w:firstColumn="1" w:lastColumn="0" w:noHBand="0" w:noVBand="1"/>
      </w:tblPr>
      <w:tblGrid>
        <w:gridCol w:w="3209"/>
        <w:gridCol w:w="3209"/>
        <w:gridCol w:w="3210"/>
      </w:tblGrid>
      <w:tr w:rsidR="00DB28C6" w:rsidRPr="000909B7" w14:paraId="2F74B0F7" w14:textId="77777777" w:rsidTr="00215D06">
        <w:tc>
          <w:tcPr>
            <w:tcW w:w="3209" w:type="dxa"/>
          </w:tcPr>
          <w:p w14:paraId="4509971B" w14:textId="77777777" w:rsidR="00DB28C6" w:rsidRPr="000909B7" w:rsidRDefault="00DB28C6" w:rsidP="00215D06">
            <w:pPr>
              <w:rPr>
                <w:b/>
              </w:rPr>
            </w:pPr>
            <w:r w:rsidRPr="000909B7">
              <w:rPr>
                <w:b/>
              </w:rPr>
              <w:t>Område</w:t>
            </w:r>
          </w:p>
        </w:tc>
        <w:tc>
          <w:tcPr>
            <w:tcW w:w="3209" w:type="dxa"/>
          </w:tcPr>
          <w:p w14:paraId="1BF6C90B" w14:textId="77777777" w:rsidR="00DB28C6" w:rsidRPr="000909B7" w:rsidRDefault="00DB28C6" w:rsidP="00215D06">
            <w:pPr>
              <w:rPr>
                <w:b/>
              </w:rPr>
            </w:pPr>
            <w:r>
              <w:rPr>
                <w:b/>
              </w:rPr>
              <w:t>Data</w:t>
            </w:r>
          </w:p>
        </w:tc>
        <w:tc>
          <w:tcPr>
            <w:tcW w:w="3210" w:type="dxa"/>
          </w:tcPr>
          <w:p w14:paraId="658B637D" w14:textId="77777777" w:rsidR="00DB28C6" w:rsidRPr="000909B7" w:rsidRDefault="00DB28C6" w:rsidP="00215D06">
            <w:pPr>
              <w:rPr>
                <w:b/>
              </w:rPr>
            </w:pPr>
            <w:r>
              <w:rPr>
                <w:b/>
              </w:rPr>
              <w:t>Indikator</w:t>
            </w:r>
          </w:p>
        </w:tc>
      </w:tr>
      <w:tr w:rsidR="00DB28C6" w:rsidRPr="000909B7" w14:paraId="0A7CDC6A" w14:textId="77777777" w:rsidTr="00215D06">
        <w:tc>
          <w:tcPr>
            <w:tcW w:w="3209" w:type="dxa"/>
          </w:tcPr>
          <w:p w14:paraId="2AB5C58E" w14:textId="77777777" w:rsidR="00DB28C6" w:rsidRPr="000909B7" w:rsidRDefault="00DB28C6" w:rsidP="00215D06">
            <w:r>
              <w:t>Visionshandleplaner</w:t>
            </w:r>
          </w:p>
        </w:tc>
        <w:tc>
          <w:tcPr>
            <w:tcW w:w="3209" w:type="dxa"/>
          </w:tcPr>
          <w:p w14:paraId="1A68998D" w14:textId="77777777" w:rsidR="00DB28C6" w:rsidRPr="000909B7" w:rsidRDefault="00DB28C6" w:rsidP="00215D06">
            <w:r>
              <w:t>Egne evalueringer af handlingsplanerne</w:t>
            </w:r>
          </w:p>
        </w:tc>
        <w:tc>
          <w:tcPr>
            <w:tcW w:w="3210" w:type="dxa"/>
          </w:tcPr>
          <w:p w14:paraId="39D77C35" w14:textId="77777777" w:rsidR="00DB28C6" w:rsidRDefault="00EB1CFF" w:rsidP="00215D06">
            <w:r>
              <w:t>De indsatsområder, der er udvalgt til implementering i 2020 er gennemført.</w:t>
            </w:r>
          </w:p>
          <w:p w14:paraId="1AC4C9C2" w14:textId="77777777" w:rsidR="00EB1CFF" w:rsidRPr="000909B7" w:rsidRDefault="00EB1CFF" w:rsidP="00215D06"/>
        </w:tc>
      </w:tr>
      <w:tr w:rsidR="00DB28C6" w:rsidRPr="000909B7" w14:paraId="5F66C1E0" w14:textId="77777777" w:rsidTr="00215D06">
        <w:tc>
          <w:tcPr>
            <w:tcW w:w="3209" w:type="dxa"/>
          </w:tcPr>
          <w:p w14:paraId="7320862D" w14:textId="77777777" w:rsidR="00DB28C6" w:rsidRPr="000909B7" w:rsidRDefault="00DB28C6" w:rsidP="00215D06">
            <w:r>
              <w:t>Organisationsstruktur</w:t>
            </w:r>
          </w:p>
        </w:tc>
        <w:tc>
          <w:tcPr>
            <w:tcW w:w="3209" w:type="dxa"/>
          </w:tcPr>
          <w:p w14:paraId="41C86AFA" w14:textId="77777777" w:rsidR="00DB28C6" w:rsidRPr="000909B7" w:rsidRDefault="00DB28C6" w:rsidP="00215D06">
            <w:r>
              <w:t>Procesmål</w:t>
            </w:r>
          </w:p>
        </w:tc>
        <w:tc>
          <w:tcPr>
            <w:tcW w:w="3210" w:type="dxa"/>
          </w:tcPr>
          <w:p w14:paraId="40BCD1C3" w14:textId="77777777" w:rsidR="00DB28C6" w:rsidRDefault="00DB28C6" w:rsidP="00215D06">
            <w:r>
              <w:t>Der er udviklet og vedtaget en ny organisationsstruktur</w:t>
            </w:r>
            <w:r w:rsidR="000A5DBE">
              <w:t>.</w:t>
            </w:r>
          </w:p>
          <w:p w14:paraId="26C7F09F" w14:textId="77777777" w:rsidR="000A5DBE" w:rsidRPr="000909B7" w:rsidRDefault="000A5DBE" w:rsidP="00215D06"/>
        </w:tc>
      </w:tr>
    </w:tbl>
    <w:p w14:paraId="04289E79" w14:textId="77777777" w:rsidR="00DB28C6" w:rsidRDefault="00DB28C6" w:rsidP="00DB28C6">
      <w:pPr>
        <w:rPr>
          <w:i/>
        </w:rPr>
      </w:pPr>
    </w:p>
    <w:p w14:paraId="2554313F" w14:textId="77777777" w:rsidR="00DB28C6" w:rsidRDefault="00DB28C6" w:rsidP="00DB28C6">
      <w:pPr>
        <w:rPr>
          <w:i/>
        </w:rPr>
      </w:pPr>
    </w:p>
    <w:p w14:paraId="29F1F496" w14:textId="77777777" w:rsidR="00DB28C6" w:rsidRDefault="00DB28C6" w:rsidP="003F5449">
      <w:pPr>
        <w:rPr>
          <w:i/>
        </w:rPr>
      </w:pPr>
    </w:p>
    <w:p w14:paraId="4240E8E5" w14:textId="77777777" w:rsidR="007C542D" w:rsidRDefault="00EF20D5"/>
    <w:sectPr w:rsidR="007C542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49"/>
    <w:rsid w:val="000909B7"/>
    <w:rsid w:val="000A5DBE"/>
    <w:rsid w:val="00120E7E"/>
    <w:rsid w:val="001A0D5C"/>
    <w:rsid w:val="00244234"/>
    <w:rsid w:val="003D7929"/>
    <w:rsid w:val="003F5449"/>
    <w:rsid w:val="00660ABD"/>
    <w:rsid w:val="009E4895"/>
    <w:rsid w:val="00DB28C6"/>
    <w:rsid w:val="00EB1CFF"/>
    <w:rsid w:val="00EF20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F37D"/>
  <w15:chartTrackingRefBased/>
  <w15:docId w15:val="{6BAD60A4-B542-459A-9FA5-B2B3ED44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44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9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83FA7BC1BE7841AEC4A95980667929" ma:contentTypeVersion="10" ma:contentTypeDescription="Opret et nyt dokument." ma:contentTypeScope="" ma:versionID="b29c6c7de3c6a2a5046585c8d35f39a6">
  <xsd:schema xmlns:xsd="http://www.w3.org/2001/XMLSchema" xmlns:xs="http://www.w3.org/2001/XMLSchema" xmlns:p="http://schemas.microsoft.com/office/2006/metadata/properties" xmlns:ns3="493dec6a-80d2-4643-a12e-d28ec4ee3587" xmlns:ns4="0906b9c3-818b-47b7-aa00-dad558d5737b" targetNamespace="http://schemas.microsoft.com/office/2006/metadata/properties" ma:root="true" ma:fieldsID="88912746de51c50c69346b9af85a17ae" ns3:_="" ns4:_="">
    <xsd:import namespace="493dec6a-80d2-4643-a12e-d28ec4ee3587"/>
    <xsd:import namespace="0906b9c3-818b-47b7-aa00-dad558d573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c6a-80d2-4643-a12e-d28ec4ee3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6b9c3-818b-47b7-aa00-dad558d5737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C1CD8-3731-4E71-9FCE-64743431530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906b9c3-818b-47b7-aa00-dad558d5737b"/>
    <ds:schemaRef ds:uri="http://purl.org/dc/terms/"/>
    <ds:schemaRef ds:uri="http://schemas.openxmlformats.org/package/2006/metadata/core-properties"/>
    <ds:schemaRef ds:uri="493dec6a-80d2-4643-a12e-d28ec4ee3587"/>
    <ds:schemaRef ds:uri="http://www.w3.org/XML/1998/namespace"/>
    <ds:schemaRef ds:uri="http://purl.org/dc/dcmitype/"/>
  </ds:schemaRefs>
</ds:datastoreItem>
</file>

<file path=customXml/itemProps2.xml><?xml version="1.0" encoding="utf-8"?>
<ds:datastoreItem xmlns:ds="http://schemas.openxmlformats.org/officeDocument/2006/customXml" ds:itemID="{4633A64B-280D-41A9-9630-86DB1FED710A}">
  <ds:schemaRefs>
    <ds:schemaRef ds:uri="http://schemas.microsoft.com/sharepoint/v3/contenttype/forms"/>
  </ds:schemaRefs>
</ds:datastoreItem>
</file>

<file path=customXml/itemProps3.xml><?xml version="1.0" encoding="utf-8"?>
<ds:datastoreItem xmlns:ds="http://schemas.openxmlformats.org/officeDocument/2006/customXml" ds:itemID="{6E24BC80-FC61-4907-A268-08CE107D6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dec6a-80d2-4643-a12e-d28ec4ee3587"/>
    <ds:schemaRef ds:uri="0906b9c3-818b-47b7-aa00-dad558d5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ITS</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Ingemann (MI | EG)</dc:creator>
  <cp:keywords/>
  <dc:description/>
  <cp:lastModifiedBy>Martin Ingemann (MI | EG)</cp:lastModifiedBy>
  <cp:revision>2</cp:revision>
  <dcterms:created xsi:type="dcterms:W3CDTF">2020-01-31T09:59:00Z</dcterms:created>
  <dcterms:modified xsi:type="dcterms:W3CDTF">2020-01-31T09:59:00Z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0x010100A083FA7BC1BE7841AEC4A95980667929</vt:lpwstr>
  </property>
</Properties>
</file>